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E36A3" w14:textId="695FFC83" w:rsidR="00F424AD" w:rsidRPr="001A2C40" w:rsidRDefault="00F07F05" w:rsidP="001A2C4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大、</w:t>
      </w:r>
      <w:bookmarkStart w:id="0" w:name="_GoBack"/>
      <w:bookmarkEnd w:id="0"/>
      <w:r w:rsidR="001225CE" w:rsidRPr="001A2C40">
        <w:rPr>
          <w:rFonts w:hint="eastAsia"/>
          <w:b/>
          <w:sz w:val="32"/>
        </w:rPr>
        <w:t>小鼠吸入性麻醉剂的选择参考</w:t>
      </w:r>
    </w:p>
    <w:tbl>
      <w:tblPr>
        <w:tblW w:w="138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3119"/>
        <w:gridCol w:w="3402"/>
        <w:gridCol w:w="5103"/>
      </w:tblGrid>
      <w:tr w:rsidR="001225CE" w:rsidRPr="001225CE" w14:paraId="10615C55" w14:textId="77777777" w:rsidTr="00B92721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CCB8E" w14:textId="77777777" w:rsidR="001225CE" w:rsidRPr="001225CE" w:rsidRDefault="001225CE" w:rsidP="001225CE">
            <w:pPr>
              <w:widowControl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麻醉剂名称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C9C54D" w14:textId="77777777" w:rsidR="001225CE" w:rsidRPr="001225CE" w:rsidRDefault="001225CE" w:rsidP="001225CE">
            <w:pPr>
              <w:widowControl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剂量（</w:t>
            </w: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mg/kg</w:t>
            </w: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）和给药途径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A2F616" w14:textId="77777777" w:rsidR="001225CE" w:rsidRPr="001225CE" w:rsidRDefault="001225CE" w:rsidP="001225CE">
            <w:pPr>
              <w:widowControl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使用范围和频率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C77F09" w14:textId="77777777" w:rsidR="001225CE" w:rsidRPr="001225CE" w:rsidRDefault="001225CE" w:rsidP="001225CE">
            <w:pPr>
              <w:widowControl/>
              <w:ind w:rightChars="1259" w:right="2644"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注意事项</w:t>
            </w:r>
          </w:p>
        </w:tc>
      </w:tr>
      <w:tr w:rsidR="001225CE" w:rsidRPr="001225CE" w14:paraId="22576676" w14:textId="77777777" w:rsidTr="00B92721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12A76A" w14:textId="77777777" w:rsid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异氟烷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Isoflurane/</w:t>
            </w:r>
          </w:p>
          <w:p w14:paraId="021FD71D" w14:textId="03532DDA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氟烷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Halothane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8C29C9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1-3%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和氧气混合气体就可以发挥麻醉作用（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5%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通常用于诱导期）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2BCAFB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一般麻醉时使用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3F1C03" w14:textId="68EEE414" w:rsidR="001225CE" w:rsidRPr="003B6642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</w:pPr>
            <w:r w:rsidRPr="003B6642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  <w:t>（</w:t>
            </w: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  <w:t>推荐</w:t>
            </w:r>
            <w:r w:rsidR="003B6642"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  <w:t>手术麻醉</w:t>
            </w:r>
            <w:r w:rsidRPr="001225CE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  <w:t>使用</w:t>
            </w:r>
            <w:r w:rsidRPr="003B6642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  <w:t>）</w:t>
            </w:r>
          </w:p>
          <w:p w14:paraId="4116CA30" w14:textId="152AF67F" w:rsidR="001225CE" w:rsidRPr="003B6642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  <w:highlight w:val="green"/>
              </w:rPr>
            </w:pPr>
            <w:r w:rsidRPr="003B6642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1.</w:t>
            </w:r>
            <w:r w:rsidRPr="003B6642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有时同时需要给予一些镇静剂</w:t>
            </w:r>
            <w:r w:rsidRPr="003B6642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br/>
              <w:t>2.</w:t>
            </w:r>
            <w:r w:rsidRPr="003B6642">
              <w:rPr>
                <w:rFonts w:ascii="Times" w:eastAsia="宋体" w:hAnsi="Times" w:cs="宋体"/>
                <w:b/>
                <w:bCs/>
                <w:color w:val="000000"/>
                <w:kern w:val="0"/>
                <w:sz w:val="24"/>
                <w:szCs w:val="24"/>
              </w:rPr>
              <w:t>需要一个精确控制的蒸汽发生控制器</w:t>
            </w:r>
          </w:p>
        </w:tc>
      </w:tr>
      <w:tr w:rsidR="001225CE" w:rsidRPr="001225CE" w14:paraId="6D747B3F" w14:textId="77777777" w:rsidTr="00B92721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027A3D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甲氧氟烷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Methoxyflurane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182093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目前剂量百分比不好控制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A6538A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一般麻醉时使用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DF8815" w14:textId="77777777" w:rsidR="001225CE" w:rsidRPr="001225CE" w:rsidRDefault="001225CE" w:rsidP="001225CE">
            <w:pPr>
              <w:widowControl/>
              <w:spacing w:after="100" w:afterAutospacing="1"/>
              <w:jc w:val="left"/>
              <w:rPr>
                <w:rFonts w:ascii="Heiti SC Light" w:eastAsia="宋体" w:hAnsi="Heiti SC Light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Heiti SC Light" w:eastAsia="宋体" w:hAnsi="Heiti SC Light" w:cs="宋体"/>
                <w:color w:val="000000"/>
                <w:kern w:val="0"/>
                <w:sz w:val="24"/>
                <w:szCs w:val="24"/>
              </w:rPr>
              <w:t>1.</w:t>
            </w:r>
            <w:r w:rsidRPr="001225CE">
              <w:rPr>
                <w:rFonts w:ascii="Heiti SC Light" w:eastAsia="宋体" w:hAnsi="Heiti SC Light" w:cs="宋体"/>
                <w:color w:val="000000"/>
                <w:kern w:val="0"/>
                <w:sz w:val="24"/>
                <w:szCs w:val="24"/>
              </w:rPr>
              <w:t>有时同时需要给予一些镇静剂</w:t>
            </w:r>
            <w:r w:rsidRPr="001225CE">
              <w:rPr>
                <w:rFonts w:ascii="Heiti SC Light" w:eastAsia="宋体" w:hAnsi="Heiti SC Light" w:cs="宋体"/>
                <w:color w:val="000000"/>
                <w:kern w:val="0"/>
                <w:sz w:val="24"/>
                <w:szCs w:val="24"/>
              </w:rPr>
              <w:br/>
              <w:t>2.</w:t>
            </w:r>
            <w:r w:rsidRPr="001225CE">
              <w:rPr>
                <w:rFonts w:ascii="Heiti SC Light" w:eastAsia="宋体" w:hAnsi="Heiti SC Light" w:cs="宋体"/>
                <w:color w:val="000000"/>
                <w:kern w:val="0"/>
                <w:sz w:val="24"/>
                <w:szCs w:val="24"/>
              </w:rPr>
              <w:t>目前在国内很少使用</w:t>
            </w:r>
          </w:p>
        </w:tc>
      </w:tr>
      <w:tr w:rsidR="001225CE" w:rsidRPr="001225CE" w14:paraId="2D13C5B7" w14:textId="77777777" w:rsidTr="00B92721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A91633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一氧化氮（笑气）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Nitrous oxide (N2O)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C5752C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最高和氧气混合比例为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6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：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2D003D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镇静或者一般麻醉时使用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EE354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外科手术时不可单独使用，经常和吸入性麻醉剂一同使用，为了加强其他吸入性麻醉剂的作用和降低其他吸入性麻醉剂的剂量</w:t>
            </w:r>
          </w:p>
        </w:tc>
      </w:tr>
      <w:tr w:rsidR="001225CE" w:rsidRPr="001225CE" w14:paraId="162E9F69" w14:textId="77777777" w:rsidTr="00B92721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94B9CC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乙醚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Ether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A8A96A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目前剂量百分比不好控制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782D55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一般麻醉时使用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5595F2" w14:textId="77777777" w:rsid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red"/>
              </w:rPr>
              <w:t>只有催眠效果，不具有镇痛作用。</w:t>
            </w:r>
          </w:p>
          <w:p w14:paraId="7070104F" w14:textId="6D820F85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不得用于动物麻醉，如需用于麻醉必须提前使用镇痛剂。</w:t>
            </w:r>
          </w:p>
        </w:tc>
      </w:tr>
      <w:tr w:rsidR="001225CE" w:rsidRPr="001225CE" w14:paraId="7FCED195" w14:textId="77777777" w:rsidTr="00B92721"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A64A9A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二氧化碳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 xml:space="preserve"> Carbon dioxide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（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CO2</w:t>
            </w: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88A60D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目前剂量百分比不好控制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570BBA" w14:textId="77777777" w:rsidR="001225CE" w:rsidRPr="001225CE" w:rsidRDefault="001225CE" w:rsidP="001225CE">
            <w:pPr>
              <w:widowControl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225CE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一般在安乐死时一次性使用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E9363F" w14:textId="7C297593" w:rsidR="001225CE" w:rsidRDefault="003B6642" w:rsidP="001225CE">
            <w:pPr>
              <w:widowControl/>
              <w:jc w:val="left"/>
              <w:rPr>
                <w:rFonts w:ascii="Times" w:eastAsia="宋体" w:hAnsi="Times" w:cs="宋体" w:hint="eastAsia"/>
                <w:kern w:val="0"/>
                <w:sz w:val="24"/>
                <w:szCs w:val="24"/>
              </w:rPr>
            </w:pPr>
            <w:r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red"/>
              </w:rPr>
              <w:t>不</w:t>
            </w:r>
            <w:proofErr w:type="gramStart"/>
            <w:r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red"/>
              </w:rPr>
              <w:t>可以</w:t>
            </w:r>
            <w:r w:rsidR="001225CE" w:rsidRPr="00B92721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red"/>
              </w:rPr>
              <w:t>可以</w:t>
            </w:r>
            <w:proofErr w:type="gramEnd"/>
            <w:r w:rsidR="001225CE" w:rsidRPr="00B92721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red"/>
              </w:rPr>
              <w:t>用于</w:t>
            </w:r>
            <w:r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red"/>
              </w:rPr>
              <w:t>手术</w:t>
            </w:r>
            <w:r w:rsidR="001225CE" w:rsidRPr="00B92721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red"/>
              </w:rPr>
              <w:t>麻醉。</w:t>
            </w:r>
          </w:p>
          <w:p w14:paraId="5D90914B" w14:textId="434815ED" w:rsidR="003B6642" w:rsidRPr="00B92721" w:rsidRDefault="003B6642" w:rsidP="001225CE">
            <w:pPr>
              <w:widowControl/>
              <w:jc w:val="left"/>
              <w:rPr>
                <w:rFonts w:ascii="Times" w:eastAsia="宋体" w:hAnsi="Times" w:cs="宋体" w:hint="eastAsia"/>
                <w:kern w:val="0"/>
                <w:sz w:val="24"/>
                <w:szCs w:val="24"/>
              </w:rPr>
            </w:pPr>
            <w:r w:rsidRPr="003B6642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green"/>
              </w:rPr>
              <w:t>推荐小于</w:t>
            </w:r>
            <w:r w:rsidRPr="003B6642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green"/>
              </w:rPr>
              <w:t>1min</w:t>
            </w:r>
            <w:r w:rsidRPr="003B6642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green"/>
              </w:rPr>
              <w:t>的采样麻醉。</w:t>
            </w:r>
          </w:p>
          <w:p w14:paraId="6669B197" w14:textId="2857156C" w:rsidR="001225CE" w:rsidRPr="001225CE" w:rsidRDefault="00B92721" w:rsidP="001225CE">
            <w:pPr>
              <w:widowControl/>
              <w:jc w:val="left"/>
              <w:rPr>
                <w:rFonts w:ascii="Times" w:eastAsia="宋体" w:hAnsi="Times" w:cs="宋体" w:hint="eastAsia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green"/>
              </w:rPr>
              <w:t>推荐</w:t>
            </w:r>
            <w:r w:rsidR="001225CE" w:rsidRPr="001225CE">
              <w:rPr>
                <w:rFonts w:ascii="Times" w:eastAsia="宋体" w:hAnsi="Times" w:cs="宋体"/>
                <w:kern w:val="0"/>
                <w:sz w:val="24"/>
                <w:szCs w:val="24"/>
                <w:highlight w:val="green"/>
              </w:rPr>
              <w:t>用于安乐死，或者处死前的麻醉</w:t>
            </w:r>
          </w:p>
        </w:tc>
      </w:tr>
    </w:tbl>
    <w:p w14:paraId="35BEEE17" w14:textId="22C2EC32" w:rsidR="001225CE" w:rsidRDefault="001225CE"/>
    <w:p w14:paraId="34F35168" w14:textId="7B433312" w:rsidR="005060E6" w:rsidRDefault="001A2C40" w:rsidP="001A2C4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动物实验</w:t>
      </w:r>
      <w:r w:rsidRPr="001A2C40">
        <w:rPr>
          <w:b/>
          <w:sz w:val="32"/>
        </w:rPr>
        <w:t>注射类麻醉剂</w:t>
      </w:r>
    </w:p>
    <w:tbl>
      <w:tblPr>
        <w:tblW w:w="138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2835"/>
        <w:gridCol w:w="2409"/>
        <w:gridCol w:w="4820"/>
      </w:tblGrid>
      <w:tr w:rsidR="001A2C40" w:rsidRPr="001A2C40" w14:paraId="694E8042" w14:textId="77777777" w:rsidTr="005A6947"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A49875" w14:textId="77777777" w:rsidR="001A2C40" w:rsidRPr="001A2C40" w:rsidRDefault="001A2C40" w:rsidP="005A6947">
            <w:pPr>
              <w:widowControl/>
              <w:spacing w:line="276" w:lineRule="auto"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麻醉剂名称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7994B9" w14:textId="04EE3B57" w:rsidR="001A2C40" w:rsidRPr="001A2C40" w:rsidRDefault="001A2C40" w:rsidP="005A6947">
            <w:pPr>
              <w:widowControl/>
              <w:spacing w:line="276" w:lineRule="auto"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剂量（mg/kg）给药途径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4B5D56" w14:textId="77777777" w:rsidR="001A2C40" w:rsidRPr="001A2C40" w:rsidRDefault="001A2C40" w:rsidP="005A6947">
            <w:pPr>
              <w:widowControl/>
              <w:spacing w:line="276" w:lineRule="auto"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使用范围和频率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48AE2A" w14:textId="77777777" w:rsidR="001A2C40" w:rsidRPr="001A2C40" w:rsidRDefault="001A2C40" w:rsidP="005A6947">
            <w:pPr>
              <w:widowControl/>
              <w:spacing w:line="276" w:lineRule="auto"/>
              <w:jc w:val="center"/>
              <w:rPr>
                <w:rFonts w:ascii="Times" w:eastAsia="宋体" w:hAnsi="Times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注意事项</w:t>
            </w:r>
          </w:p>
        </w:tc>
      </w:tr>
      <w:tr w:rsidR="001A2C40" w:rsidRPr="001A2C40" w14:paraId="7AB29224" w14:textId="77777777" w:rsidTr="005A6947">
        <w:tc>
          <w:tcPr>
            <w:tcW w:w="138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9B5FB0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8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8"/>
                <w:szCs w:val="24"/>
              </w:rPr>
              <w:t>氯胺酮合剂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8"/>
                <w:szCs w:val="24"/>
              </w:rPr>
              <w:t>Ketamine combinations</w:t>
            </w:r>
          </w:p>
        </w:tc>
      </w:tr>
      <w:tr w:rsidR="001A2C40" w:rsidRPr="001A2C40" w14:paraId="25BA77C0" w14:textId="77777777" w:rsidTr="005A6947"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9D598D" w14:textId="2A179CB0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lastRenderedPageBreak/>
              <w:t>氯胺酮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/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甲苯</w:t>
            </w:r>
            <w:proofErr w:type="gramStart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噻</w:t>
            </w:r>
            <w:proofErr w:type="gramEnd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嗪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Ketamine-Xylazine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815468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80-100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K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+5-10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X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），腹腔注射（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IP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FFFFB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一般麻醉时使用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0FAA2E" w14:textId="70FA373B" w:rsidR="005A6947" w:rsidRDefault="005A6947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yellow"/>
              </w:rPr>
              <w:t>管制，</w:t>
            </w:r>
            <w:r w:rsidRPr="005A6947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yellow"/>
              </w:rPr>
              <w:t>不易获得</w:t>
            </w:r>
            <w:r w:rsidR="003B6642" w:rsidRPr="003B6642">
              <w:rPr>
                <w:rFonts w:ascii="Times" w:eastAsia="宋体" w:hAnsi="Times" w:cs="宋体" w:hint="eastAsia"/>
                <w:kern w:val="0"/>
                <w:sz w:val="24"/>
                <w:szCs w:val="24"/>
                <w:highlight w:val="green"/>
              </w:rPr>
              <w:t>，推荐使用</w:t>
            </w:r>
          </w:p>
          <w:p w14:paraId="0D5C3719" w14:textId="01DB7B23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可能不是外科手术最好的选择</w:t>
            </w:r>
            <w:r w:rsidRPr="001A2C40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br/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假如需要补加，只须使用氯胺酮即可</w:t>
            </w:r>
            <w:r w:rsidRPr="001A2C40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br/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加速苏醒可以用</w:t>
            </w:r>
            <w:proofErr w:type="gramStart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阿替美唑</w:t>
            </w:r>
            <w:proofErr w:type="gramEnd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atipamezole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等部分减弱</w:t>
            </w:r>
          </w:p>
        </w:tc>
      </w:tr>
      <w:tr w:rsidR="001A2C40" w:rsidRPr="001A2C40" w14:paraId="5E345B8E" w14:textId="77777777" w:rsidTr="005A6947">
        <w:trPr>
          <w:trHeight w:val="1080"/>
        </w:trPr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90C708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氯胺酮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/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甲苯</w:t>
            </w:r>
            <w:proofErr w:type="gramStart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噻</w:t>
            </w:r>
            <w:proofErr w:type="gramEnd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嗪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/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乙酰丙嗪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Ketamine-Xylazine-Acepromazine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306648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70-100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K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+10-20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X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+2-3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A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），腹腔注射（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IP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D0B30B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一般麻醉时使用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8CBD4" w14:textId="589489A6" w:rsidR="005A6947" w:rsidRDefault="005A6947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yellow"/>
              </w:rPr>
              <w:t>管制，</w:t>
            </w:r>
            <w:r w:rsidRPr="005A6947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yellow"/>
              </w:rPr>
              <w:t>不易获得</w:t>
            </w:r>
            <w:r w:rsidR="003B6642" w:rsidRPr="003B6642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，推荐使用</w:t>
            </w:r>
          </w:p>
          <w:p w14:paraId="5671937F" w14:textId="4B62EED9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可能不是外科手术最好的选择</w:t>
            </w:r>
            <w:r w:rsidRPr="001A2C40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br/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假如需要补加，只须使用氯胺酮即可</w:t>
            </w:r>
            <w:r w:rsidRPr="001A2C40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br/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加速苏醒可以用</w:t>
            </w:r>
            <w:proofErr w:type="gramStart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阿替美唑</w:t>
            </w:r>
            <w:proofErr w:type="gramEnd"/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atipamezole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等部分减弱</w:t>
            </w:r>
          </w:p>
        </w:tc>
      </w:tr>
      <w:tr w:rsidR="001A2C40" w:rsidRPr="001A2C40" w14:paraId="3057ED40" w14:textId="77777777" w:rsidTr="005A6947"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A9506C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氯胺酮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/Ketamine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7F000D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100-200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，腹腔注射（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IP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1AAC6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镇静或者一般麻醉时使用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1BA37F" w14:textId="77777777" w:rsidR="005A6947" w:rsidRDefault="005A6947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yellow"/>
              </w:rPr>
              <w:t>管制，</w:t>
            </w:r>
            <w:r w:rsidRPr="005A6947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yellow"/>
              </w:rPr>
              <w:t>不易获得</w:t>
            </w:r>
          </w:p>
          <w:p w14:paraId="0A711C50" w14:textId="46E062E0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深度镇静作用，但是不能用于手术麻醉。较少单独使用。</w:t>
            </w:r>
          </w:p>
        </w:tc>
      </w:tr>
      <w:tr w:rsidR="001A2C40" w:rsidRPr="001A2C40" w14:paraId="74EED4D7" w14:textId="77777777" w:rsidTr="005A6947">
        <w:tc>
          <w:tcPr>
            <w:tcW w:w="138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356EF7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8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8"/>
                <w:szCs w:val="24"/>
              </w:rPr>
              <w:t>其他注射类麻醉剂</w:t>
            </w:r>
          </w:p>
        </w:tc>
      </w:tr>
      <w:tr w:rsidR="001A2C40" w:rsidRPr="001A2C40" w14:paraId="7574BF6D" w14:textId="77777777" w:rsidTr="005A6947"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683784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戊巴比妥钠</w:t>
            </w:r>
          </w:p>
          <w:p w14:paraId="7E267CB8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Sodium pentobarbital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8BA0C5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40-50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，腹腔注射（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IP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A37E34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推荐是终末期处死或者较短的手术使用。必要时可以补加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512168" w14:textId="5E60DC55" w:rsidR="00B92721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推荐</w:t>
            </w:r>
            <w:r w:rsidR="0084757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使用：</w:t>
            </w:r>
          </w:p>
          <w:p w14:paraId="24843FE4" w14:textId="1615C5C7" w:rsid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必须用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PBS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或者格林氏液配制，因为酸性或者高浓度的可以导致腹膜炎</w:t>
            </w:r>
          </w:p>
          <w:p w14:paraId="332D8C86" w14:textId="4765590B" w:rsidR="00B92721" w:rsidRPr="001A2C40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A2C40" w:rsidRPr="001A2C40" w14:paraId="76151062" w14:textId="77777777" w:rsidTr="005A6947"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E0B522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三溴乙醇类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Tribromoethanol (avertin)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（推荐使用）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9188A2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250-500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，，腹腔注射（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IP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3379EF" w14:textId="77777777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可以用于存活性手术、终末期处死或者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lastRenderedPageBreak/>
              <w:t>较短的手术使用。必要时可以补加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F15F9D" w14:textId="44F1A1E3" w:rsidR="00051354" w:rsidRDefault="00051354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lastRenderedPageBreak/>
              <w:t>推荐</w:t>
            </w:r>
            <w:r w:rsidR="0084757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使用</w:t>
            </w: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：</w:t>
            </w:r>
          </w:p>
          <w:p w14:paraId="7F7E92BB" w14:textId="77777777" w:rsidR="00051354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稀释后的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Avertin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必须在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个月内用完</w:t>
            </w:r>
          </w:p>
          <w:p w14:paraId="094D08F2" w14:textId="77777777" w:rsidR="00051354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低浓度（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2.5%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）的很少引起腹膜炎</w:t>
            </w:r>
          </w:p>
          <w:p w14:paraId="33784FD2" w14:textId="35D00B44" w:rsidR="00051354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3. 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必须避光保存</w:t>
            </w:r>
          </w:p>
          <w:p w14:paraId="14D97974" w14:textId="2593D5A8" w:rsidR="001A2C40" w:rsidRPr="001A2C40" w:rsidRDefault="001A2C40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4. Avertin</w:t>
            </w:r>
            <w:r w:rsidRPr="001A2C40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的配制使用说明</w:t>
            </w:r>
            <w:r w:rsid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见下。</w:t>
            </w:r>
          </w:p>
        </w:tc>
      </w:tr>
      <w:tr w:rsidR="00B92721" w:rsidRPr="001A2C40" w14:paraId="7AC32626" w14:textId="77777777" w:rsidTr="005A6947">
        <w:tc>
          <w:tcPr>
            <w:tcW w:w="138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32FA8F" w14:textId="45F9FFC7" w:rsidR="00B92721" w:rsidRPr="00B92721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</w:pP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lastRenderedPageBreak/>
              <w:t>犬猫等大动物及牲畜</w:t>
            </w:r>
          </w:p>
        </w:tc>
      </w:tr>
      <w:tr w:rsidR="00B92721" w:rsidRPr="001A2C40" w14:paraId="271C9DE7" w14:textId="77777777" w:rsidTr="005A6947">
        <w:trPr>
          <w:trHeight w:val="1156"/>
        </w:trPr>
        <w:tc>
          <w:tcPr>
            <w:tcW w:w="3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58EBC8" w14:textId="77777777" w:rsidR="00B92721" w:rsidRPr="00B92721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舒泰</w:t>
            </w:r>
            <w:r w:rsidRPr="00B92721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®</w:t>
            </w: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麻醉剂</w:t>
            </w:r>
          </w:p>
          <w:p w14:paraId="66DA1844" w14:textId="664C5B8F" w:rsidR="00B92721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proofErr w:type="spellStart"/>
            <w:r w:rsidRPr="00B92721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Zoletil</w:t>
            </w:r>
            <w:proofErr w:type="spellEnd"/>
            <w:r w:rsidRPr="00B92721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 xml:space="preserve"> 50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E1C790" w14:textId="5E1E62B1" w:rsidR="00B92721" w:rsidRPr="001A2C40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详见舒泰</w:t>
            </w:r>
            <w:r w:rsidRPr="00B92721">
              <w:rPr>
                <w:rFonts w:ascii="Times" w:eastAsia="宋体" w:hAnsi="Times" w:cs="宋体"/>
                <w:color w:val="000000"/>
                <w:kern w:val="0"/>
                <w:sz w:val="24"/>
                <w:szCs w:val="24"/>
              </w:rPr>
              <w:t>®</w:t>
            </w: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  <w:t>麻醉剂使用说明书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B1B782" w14:textId="77777777" w:rsidR="00B92721" w:rsidRPr="001A2C40" w:rsidRDefault="00B92721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D174BBD" w14:textId="77777777" w:rsidR="00051354" w:rsidRDefault="00051354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</w:rPr>
            </w:pPr>
            <w:r w:rsidRPr="00B92721"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推荐</w:t>
            </w: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：</w:t>
            </w:r>
          </w:p>
          <w:p w14:paraId="3BD9A1B0" w14:textId="18633962" w:rsidR="00B92721" w:rsidRPr="00B92721" w:rsidRDefault="005A6947" w:rsidP="005A6947">
            <w:pPr>
              <w:widowControl/>
              <w:spacing w:line="276" w:lineRule="auto"/>
              <w:jc w:val="left"/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</w:pPr>
            <w:r>
              <w:rPr>
                <w:rFonts w:ascii="Times" w:eastAsia="宋体" w:hAnsi="Times" w:cs="宋体" w:hint="eastAsia"/>
                <w:color w:val="000000"/>
                <w:kern w:val="0"/>
                <w:sz w:val="24"/>
                <w:szCs w:val="24"/>
                <w:highlight w:val="green"/>
              </w:rPr>
              <w:t>商业化产品，严格按照说明书使用。</w:t>
            </w:r>
          </w:p>
        </w:tc>
      </w:tr>
    </w:tbl>
    <w:p w14:paraId="43D52273" w14:textId="77777777" w:rsidR="00B92721" w:rsidRDefault="00B92721" w:rsidP="001A2C40">
      <w:pPr>
        <w:widowControl/>
        <w:shd w:val="clear" w:color="auto" w:fill="FFFFFF"/>
        <w:spacing w:after="100" w:afterAutospacing="1"/>
        <w:jc w:val="left"/>
        <w:rPr>
          <w:rFonts w:ascii="微软雅黑" w:eastAsia="微软雅黑" w:hAnsi="微软雅黑" w:cs="宋体"/>
          <w:b/>
          <w:bCs/>
          <w:color w:val="000000"/>
          <w:kern w:val="0"/>
          <w:sz w:val="24"/>
          <w:szCs w:val="24"/>
        </w:rPr>
      </w:pPr>
    </w:p>
    <w:p w14:paraId="42406296" w14:textId="5C0B3492" w:rsidR="001A2C40" w:rsidRPr="001A2C40" w:rsidRDefault="001A2C40" w:rsidP="00B92721">
      <w:pPr>
        <w:widowControl/>
        <w:shd w:val="clear" w:color="auto" w:fill="FFFFFF"/>
        <w:spacing w:line="276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Avertin</w:t>
      </w: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工作液的配制：</w:t>
      </w:r>
    </w:p>
    <w:p w14:paraId="3B12E02C" w14:textId="77777777" w:rsidR="001A2C40" w:rsidRPr="001A2C40" w:rsidRDefault="001A2C40" w:rsidP="00B92721">
      <w:pPr>
        <w:widowControl/>
        <w:numPr>
          <w:ilvl w:val="0"/>
          <w:numId w:val="1"/>
        </w:numPr>
        <w:shd w:val="clear" w:color="auto" w:fill="FFFFFF"/>
        <w:spacing w:line="276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100% Avertin</w:t>
      </w: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储液的配制：</w:t>
      </w:r>
    </w:p>
    <w:p w14:paraId="5E2EBCFE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加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10mg tribromoethanol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到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10ml tertiary amyl alcohol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中，握在手中震摇，直至溶解。用锡箔纸包好后，保存在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4℃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。使用前请握在手中溶解，混合</w:t>
      </w:r>
      <w:proofErr w:type="gramStart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液必须</w:t>
      </w:r>
      <w:proofErr w:type="gramEnd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澄清后，才可以进行稀释。</w:t>
      </w:r>
    </w:p>
    <w:p w14:paraId="42154147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tribromoethyl</w:t>
      </w:r>
      <w:proofErr w:type="spellEnd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alcohol (2, 2, 2 tribromoethanol), Sigma-Aldrich T48402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。见链接：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fldChar w:fldCharType="begin"/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instrText xml:space="preserve"> HYPERLINK "https://www.sigmaaldrich.com/catalog/product/aldrich/t48402?lang=zh%C2%AEion=CN" \t "_blank" </w:instrTex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fldChar w:fldCharType="separate"/>
      </w:r>
      <w:r w:rsidRPr="001A2C40">
        <w:rPr>
          <w:rFonts w:ascii="Times New Roman" w:eastAsia="宋体" w:hAnsi="Times New Roman" w:cs="Times New Roman"/>
          <w:color w:val="EE33EE"/>
          <w:kern w:val="0"/>
          <w:sz w:val="24"/>
          <w:szCs w:val="24"/>
          <w:u w:val="single"/>
        </w:rPr>
        <w:t>https://www.sigmaaldrich.com/catalog/product/aldrich/t48402?lang=zh®ion=CN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fldChar w:fldCharType="end"/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  <w:t>tertiary amyl alcohol (2 methyl-2-butanol), Sigma-Aldrich 240486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。见链接：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fldChar w:fldCharType="begin"/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instrText xml:space="preserve"> HYPERLINK "https://www.sigmaaldrich.com/catalog/product/sial/240486?lang=zh%C2%AEion=CN" \t "_blank" </w:instrTex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fldChar w:fldCharType="separate"/>
      </w:r>
      <w:r w:rsidRPr="001A2C40">
        <w:rPr>
          <w:rFonts w:ascii="Times New Roman" w:eastAsia="宋体" w:hAnsi="Times New Roman" w:cs="Times New Roman"/>
          <w:color w:val="EE33EE"/>
          <w:kern w:val="0"/>
          <w:sz w:val="24"/>
          <w:szCs w:val="24"/>
          <w:u w:val="single"/>
        </w:rPr>
        <w:t>https://www.sigmaaldrich.com/catalog/product/sial/240486?lang=zh®ion=CN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fldChar w:fldCharType="end"/>
      </w:r>
    </w:p>
    <w:p w14:paraId="010E145B" w14:textId="77777777" w:rsidR="001A2C40" w:rsidRPr="001A2C40" w:rsidRDefault="001A2C40" w:rsidP="00B92721">
      <w:pPr>
        <w:widowControl/>
        <w:numPr>
          <w:ilvl w:val="0"/>
          <w:numId w:val="1"/>
        </w:numPr>
        <w:shd w:val="clear" w:color="auto" w:fill="FFFFFF"/>
        <w:spacing w:line="276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2.5%Avertin</w:t>
      </w: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工作液的配制：</w:t>
      </w:r>
    </w:p>
    <w:p w14:paraId="142FA062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2.5% Avertin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工作液在正确存储的情况下，有效期为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个月。因为配制后的成分会分解，长时间存储会造成剂量不准确，麻醉效果下降。所以使用前，务必确定标签上的配制日期。每一批配制的溶液必须要进行麻醉效果测试。</w:t>
      </w:r>
    </w:p>
    <w:p w14:paraId="0228815C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使用配制方法：</w:t>
      </w:r>
    </w:p>
    <w:p w14:paraId="66F75669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用稀释液、生理盐水或者</w:t>
      </w:r>
      <w:proofErr w:type="spellStart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MilliQ</w:t>
      </w:r>
      <w:proofErr w:type="spellEnd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稀释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100% Avertin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储液到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2.5%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：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40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）。</w:t>
      </w:r>
    </w:p>
    <w:p w14:paraId="39BAF43E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稀释液配方：</w:t>
      </w:r>
    </w:p>
    <w:p w14:paraId="5438CB82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0.8% NaCl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  <w:t>1mM Tris (pH 7.4)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br/>
        <w:t xml:space="preserve">0.25mM </w:t>
      </w:r>
      <w:proofErr w:type="gramStart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EDTA(</w:t>
      </w:r>
      <w:proofErr w:type="gramEnd"/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pH 7.4)</w:t>
      </w:r>
    </w:p>
    <w:p w14:paraId="21E42407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调节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pH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值至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7.4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14:paraId="4846E64D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推荐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2.5%Avertin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工作液使用剂量（刚配制后的），注射后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5-10 min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开始生效。一般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2.5% Avertin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工作液小鼠使用量是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100-200 ul/10g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14:paraId="43D0A31F" w14:textId="77777777" w:rsidR="001A2C40" w:rsidRPr="001A2C40" w:rsidRDefault="001A2C40" w:rsidP="00B92721">
      <w:pPr>
        <w:widowControl/>
        <w:numPr>
          <w:ilvl w:val="0"/>
          <w:numId w:val="1"/>
        </w:numPr>
        <w:shd w:val="clear" w:color="auto" w:fill="FFFFFF"/>
        <w:spacing w:line="276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举例说明：</w:t>
      </w:r>
    </w:p>
    <w:p w14:paraId="360EB92C" w14:textId="77777777" w:rsidR="001A2C40" w:rsidRPr="001A2C40" w:rsidRDefault="001A2C40" w:rsidP="00B92721">
      <w:pPr>
        <w:widowControl/>
        <w:shd w:val="clear" w:color="auto" w:fill="FFFFFF"/>
        <w:spacing w:line="276" w:lineRule="auto"/>
        <w:ind w:left="72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加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1.25 ml 100% Avertin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储液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to 48.75 ml 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稀释液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(diluent, water or saline) 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，配制成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50 ml 2.5% avertin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工作液。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0.22um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滤膜过滤后，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4℃</w:t>
      </w:r>
      <w:r w:rsidRPr="001A2C40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避光保存。</w:t>
      </w:r>
    </w:p>
    <w:p w14:paraId="7B8F5297" w14:textId="77777777" w:rsidR="001A2C40" w:rsidRPr="001A2C40" w:rsidRDefault="001A2C40" w:rsidP="001A2C40">
      <w:pPr>
        <w:jc w:val="center"/>
        <w:rPr>
          <w:b/>
          <w:sz w:val="32"/>
        </w:rPr>
      </w:pPr>
    </w:p>
    <w:sectPr w:rsidR="001A2C40" w:rsidRPr="001A2C40" w:rsidSect="001225C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1AAC6" w14:textId="77777777" w:rsidR="00271133" w:rsidRDefault="00271133" w:rsidP="001225CE">
      <w:r>
        <w:separator/>
      </w:r>
    </w:p>
  </w:endnote>
  <w:endnote w:type="continuationSeparator" w:id="0">
    <w:p w14:paraId="712A807F" w14:textId="77777777" w:rsidR="00271133" w:rsidRDefault="00271133" w:rsidP="0012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04FB6" w14:textId="77777777" w:rsidR="00271133" w:rsidRDefault="00271133" w:rsidP="001225CE">
      <w:r>
        <w:separator/>
      </w:r>
    </w:p>
  </w:footnote>
  <w:footnote w:type="continuationSeparator" w:id="0">
    <w:p w14:paraId="11C2F4C4" w14:textId="77777777" w:rsidR="00271133" w:rsidRDefault="00271133" w:rsidP="00122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A2D66"/>
    <w:multiLevelType w:val="multilevel"/>
    <w:tmpl w:val="C05E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052"/>
    <w:rsid w:val="00024052"/>
    <w:rsid w:val="00051354"/>
    <w:rsid w:val="001225CE"/>
    <w:rsid w:val="001A2C40"/>
    <w:rsid w:val="00271133"/>
    <w:rsid w:val="002D2CEE"/>
    <w:rsid w:val="003536B1"/>
    <w:rsid w:val="003B6642"/>
    <w:rsid w:val="005060E6"/>
    <w:rsid w:val="005A6947"/>
    <w:rsid w:val="00847570"/>
    <w:rsid w:val="0089119E"/>
    <w:rsid w:val="009468EA"/>
    <w:rsid w:val="00B92721"/>
    <w:rsid w:val="00F07F05"/>
    <w:rsid w:val="00F26BF9"/>
    <w:rsid w:val="00F4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D2905"/>
  <w15:chartTrackingRefBased/>
  <w15:docId w15:val="{845B0A84-A2B3-4E22-9F78-7E4947A7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5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5CE"/>
    <w:rPr>
      <w:sz w:val="18"/>
      <w:szCs w:val="18"/>
    </w:rPr>
  </w:style>
  <w:style w:type="character" w:styleId="a7">
    <w:name w:val="Strong"/>
    <w:basedOn w:val="a0"/>
    <w:uiPriority w:val="22"/>
    <w:qFormat/>
    <w:rsid w:val="001225CE"/>
    <w:rPr>
      <w:b/>
      <w:bCs/>
    </w:rPr>
  </w:style>
  <w:style w:type="paragraph" w:styleId="a8">
    <w:name w:val="Normal (Web)"/>
    <w:basedOn w:val="a"/>
    <w:uiPriority w:val="99"/>
    <w:semiHidden/>
    <w:unhideWhenUsed/>
    <w:rsid w:val="001225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A2C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832</Words>
  <Characters>1581</Characters>
  <Application>Microsoft Office Word</Application>
  <DocSecurity>0</DocSecurity>
  <Lines>87</Lines>
  <Paragraphs>75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</dc:creator>
  <cp:keywords/>
  <dc:description/>
  <cp:lastModifiedBy>Yuan</cp:lastModifiedBy>
  <cp:revision>15</cp:revision>
  <dcterms:created xsi:type="dcterms:W3CDTF">2019-02-23T03:38:00Z</dcterms:created>
  <dcterms:modified xsi:type="dcterms:W3CDTF">2019-02-26T13:51:00Z</dcterms:modified>
</cp:coreProperties>
</file>